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5A" w:rsidRPr="00DD3A5A" w:rsidRDefault="00DD3A5A" w:rsidP="0078334E">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DEA"/>
      <w:bookmarkStart w:id="1" w:name="_GoBack"/>
      <w:bookmarkEnd w:id="1"/>
    </w:p>
    <w:bookmarkEnd w:id="0"/>
    <w:p w:rsidR="00DD3A5A" w:rsidRPr="00DD3A5A" w:rsidRDefault="00DD3A5A" w:rsidP="00DD3A5A">
      <w:pPr>
        <w:spacing w:before="180" w:after="180" w:line="240" w:lineRule="auto"/>
        <w:jc w:val="center"/>
        <w:outlineLvl w:val="1"/>
        <w:rPr>
          <w:rFonts w:ascii="Helvetica" w:eastAsia="Times New Roman" w:hAnsi="Helvetica" w:cs="Helvetica"/>
          <w:b/>
          <w:bCs/>
          <w:color w:val="000000"/>
          <w:sz w:val="24"/>
          <w:szCs w:val="24"/>
        </w:rPr>
      </w:pPr>
      <w:r w:rsidRPr="00DD3A5A">
        <w:rPr>
          <w:rFonts w:ascii="Helvetica" w:eastAsia="Times New Roman" w:hAnsi="Helvetica" w:cs="Helvetica"/>
          <w:b/>
          <w:bCs/>
          <w:color w:val="000000"/>
          <w:sz w:val="24"/>
          <w:szCs w:val="24"/>
        </w:rPr>
        <w:t>Funds from Local Tax Sources</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b/>
          <w:bCs/>
          <w:sz w:val="24"/>
          <w:szCs w:val="24"/>
        </w:rPr>
        <w:t>Mill levies</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If the Board of Education is of the opinion that revenues in excess of those provided through equalization program funding are necessary to provide for the needs of the district, the Board may seek authorization at an election to raise additional local property tax revenues. The district shall cooperate with district charter schools regarding any such election in accordance with the requirements of state law.</w:t>
      </w:r>
    </w:p>
    <w:p w:rsidR="00DD3A5A" w:rsidRPr="0078334E" w:rsidRDefault="00DD3A5A" w:rsidP="00DD3A5A">
      <w:pPr>
        <w:spacing w:before="100" w:beforeAutospacing="1" w:after="180" w:line="240" w:lineRule="auto"/>
        <w:rPr>
          <w:rFonts w:ascii="Arial" w:eastAsia="Times New Roman" w:hAnsi="Arial" w:cs="Arial"/>
          <w:sz w:val="24"/>
          <w:szCs w:val="24"/>
        </w:rPr>
      </w:pPr>
      <w:r w:rsidRPr="0078334E">
        <w:rPr>
          <w:rFonts w:ascii="Arial" w:eastAsia="Times New Roman" w:hAnsi="Arial" w:cs="Arial"/>
          <w:iCs/>
          <w:sz w:val="24"/>
          <w:szCs w:val="24"/>
        </w:rPr>
        <w:t>The requested amount shall not exceed 30 percent of the district’s total program funding for the budget year in which the limitation was reached or $200,000, whichever is greater.</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The Board shall call an election to raise additional local revenues if an initiative petition containing signatures of at least five percent of the registered electors in the district is properly submitted to the Board. An initiative petition shall be submitted at least 90 days prior to the election date in order to be valid.</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Such elections shall be held on the first Tuesday in November in odd-numbered years in conjunction with the regular biennial school election or on general election day in even-numbered years. The election shall be conducted by the county clerk and recorder in accordance with applicable law.</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b/>
          <w:bCs/>
          <w:sz w:val="24"/>
          <w:szCs w:val="24"/>
        </w:rPr>
        <w:t>Transportation mill levies</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The Board of Education may submit the question of whether to impose a mill levy for the payment of excess transportation costs at an election held in conjunction with the regular biennial election in odd-numbered years or with the general election in even-numbered years. The term “excess transportation costs” is defined in state law and generally means the district’s operating and capital expenditures for the transportation program that are not reimbursed by the state.</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If the measure passes, the district shall deposit the resulting revenue in the transportation fund.</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b/>
          <w:bCs/>
          <w:sz w:val="24"/>
          <w:szCs w:val="24"/>
        </w:rPr>
        <w:t>Kindergarten mill levy</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 xml:space="preserve">The Board of Education may submit the question of whether to impose a mill levy for additional local property tax revenues to provide funding for excess full-day kindergarten program costs. The Board may include a question of whether to impose an additional mill levy of a stated amount and limited duration to meet the initial capital construction needs of the district associated with a full-day kindergarten program. “Excess full-day </w:t>
      </w:r>
      <w:r w:rsidRPr="00DD3A5A">
        <w:rPr>
          <w:rFonts w:ascii="Arial" w:eastAsia="Times New Roman" w:hAnsi="Arial" w:cs="Arial"/>
          <w:sz w:val="24"/>
          <w:szCs w:val="24"/>
        </w:rPr>
        <w:lastRenderedPageBreak/>
        <w:t>kindergarten program costs” are defined in state law as the costs that exceed the revenues the district receives from the school funding formula for kindergarten.</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b/>
          <w:bCs/>
          <w:sz w:val="24"/>
          <w:szCs w:val="24"/>
        </w:rPr>
        <w:t>Bonded indebtedness</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Upon the approval of the electorate, the Board may incur a bonded indebtedness which does not exceed amounts specified by law.</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The Board may authorize the issuance of debt to achieve the following goals and objectives:</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 xml:space="preserve">1.  To provide capital improvements which satisfy the district's physical plant </w:t>
      </w:r>
      <w:proofErr w:type="gramStart"/>
      <w:r w:rsidRPr="00DD3A5A">
        <w:rPr>
          <w:rFonts w:ascii="Arial" w:eastAsia="Times New Roman" w:hAnsi="Arial" w:cs="Arial"/>
          <w:sz w:val="24"/>
          <w:szCs w:val="24"/>
        </w:rPr>
        <w:t>needs</w:t>
      </w:r>
      <w:proofErr w:type="gramEnd"/>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2.  To provide the capability of financing district equipment needs</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3.  To refinance existing debt when it is in the best interests of the district</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To accomplish these goals the Board has developed the following guidelines for managing the district's debt.</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1.  The superintendent and a designee shall be responsible for implementing this policy and its procedures.</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2.  The superintendent and a designee shall serve as the district's liaison with the investment banking community and will keep the Board informed about investment banking activities, changes in laws which affect the issuance of debt, and any topics which bear on the district's financial activities and needs.</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3.  When developing the district's financial plan, the superintendent shall analyze the need for financial advisory or investment banking assistance in defining the district's financial goals and objectives, establishing its financial plan and preparing for the issuance of debt or the refinancing of existing debt. Based on that analysis, the superintendent may recommend that the district secure the services of financial advisory and/or investment bankers.</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4.  The type of financial advisory or investment banking services and the method of selecting the firm or firms to provide such services shall be determined by the Board.</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5.  All investment banking firms or financial advisors employed by the district shall comply with the provisions and rules of the Municipal Securities Regulatory Board when performing services for the district.</w:t>
      </w:r>
    </w:p>
    <w:p w:rsidR="00DD3A5A" w:rsidRPr="00DD3A5A" w:rsidRDefault="00DD3A5A" w:rsidP="00DD3A5A">
      <w:pPr>
        <w:spacing w:before="100" w:beforeAutospacing="1" w:after="180" w:line="240" w:lineRule="auto"/>
        <w:ind w:left="360"/>
        <w:rPr>
          <w:rFonts w:ascii="Arial" w:eastAsia="Times New Roman" w:hAnsi="Arial" w:cs="Arial"/>
          <w:sz w:val="24"/>
          <w:szCs w:val="24"/>
        </w:rPr>
      </w:pPr>
      <w:r w:rsidRPr="00DD3A5A">
        <w:rPr>
          <w:rFonts w:ascii="Arial" w:eastAsia="Times New Roman" w:hAnsi="Arial" w:cs="Arial"/>
          <w:sz w:val="24"/>
          <w:szCs w:val="24"/>
        </w:rPr>
        <w:t>6.  The superintendent and chief financial officer shall recommend to the Board whether to use a competitive bid or negotiated sale method for each transaction. All financing completed by the district shall be conducted in compliance with state and federal statutes and regulations.</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b/>
          <w:bCs/>
          <w:sz w:val="24"/>
          <w:szCs w:val="24"/>
        </w:rPr>
        <w:lastRenderedPageBreak/>
        <w:t>Notice to public</w:t>
      </w:r>
    </w:p>
    <w:p w:rsidR="00DD3A5A" w:rsidRPr="00DD3A5A" w:rsidRDefault="00DD3A5A" w:rsidP="00DD3A5A">
      <w:pPr>
        <w:spacing w:before="100" w:beforeAutospacing="1" w:after="180" w:line="240" w:lineRule="auto"/>
        <w:rPr>
          <w:rFonts w:ascii="Arial" w:eastAsia="Times New Roman" w:hAnsi="Arial" w:cs="Arial"/>
          <w:sz w:val="24"/>
          <w:szCs w:val="24"/>
        </w:rPr>
      </w:pPr>
      <w:r w:rsidRPr="00DD3A5A">
        <w:rPr>
          <w:rFonts w:ascii="Arial" w:eastAsia="Times New Roman" w:hAnsi="Arial" w:cs="Arial"/>
          <w:sz w:val="24"/>
          <w:szCs w:val="24"/>
        </w:rPr>
        <w:t xml:space="preserve">At least 20 days prior to any election wherein the Board has submitted a ballot issue concerning the creation of any debt or other financial obligation, the district shall post on its website </w:t>
      </w:r>
      <w:r w:rsidRPr="00DD3A5A">
        <w:rPr>
          <w:rFonts w:ascii="Arial" w:eastAsia="Times New Roman" w:hAnsi="Arial" w:cs="Arial"/>
          <w:i/>
          <w:iCs/>
          <w:sz w:val="24"/>
          <w:szCs w:val="24"/>
        </w:rPr>
        <w:t>[or if the district does not have a website, at the district’s main administrative office]</w:t>
      </w:r>
      <w:r w:rsidRPr="00DD3A5A">
        <w:rPr>
          <w:rFonts w:ascii="Arial" w:eastAsia="Times New Roman" w:hAnsi="Arial" w:cs="Arial"/>
          <w:sz w:val="24"/>
          <w:szCs w:val="24"/>
        </w:rPr>
        <w:t xml:space="preserve"> a notice regarding financial information as specified in state law. This notice is in addition to other notices required by law.</w:t>
      </w:r>
    </w:p>
    <w:p w:rsidR="00DD3A5A" w:rsidRPr="00DD3A5A" w:rsidRDefault="0078334E" w:rsidP="00DD3A5A">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DD3A5A" w:rsidRPr="00DD3A5A" w:rsidRDefault="00DD3A5A" w:rsidP="00DD3A5A">
      <w:pPr>
        <w:spacing w:before="180" w:after="100" w:afterAutospacing="1" w:line="240" w:lineRule="auto"/>
        <w:rPr>
          <w:rFonts w:ascii="Arial" w:eastAsia="Times New Roman" w:hAnsi="Arial" w:cs="Arial"/>
          <w:sz w:val="24"/>
          <w:szCs w:val="24"/>
        </w:rPr>
      </w:pPr>
      <w:r w:rsidRPr="00DD3A5A">
        <w:rPr>
          <w:rFonts w:ascii="Arial" w:eastAsia="Times New Roman" w:hAnsi="Arial" w:cs="Arial"/>
          <w:sz w:val="24"/>
          <w:szCs w:val="24"/>
        </w:rPr>
        <w:t xml:space="preserve">LEGAL </w:t>
      </w:r>
      <w:proofErr w:type="gramStart"/>
      <w:r w:rsidRPr="00DD3A5A">
        <w:rPr>
          <w:rFonts w:ascii="Arial" w:eastAsia="Times New Roman" w:hAnsi="Arial" w:cs="Arial"/>
          <w:sz w:val="24"/>
          <w:szCs w:val="24"/>
        </w:rPr>
        <w:t>REFS.:</w:t>
      </w:r>
      <w:proofErr w:type="gramEnd"/>
      <w:r w:rsidRPr="00DD3A5A">
        <w:rPr>
          <w:rFonts w:ascii="Arial" w:eastAsia="Times New Roman" w:hAnsi="Arial" w:cs="Arial"/>
          <w:sz w:val="24"/>
          <w:szCs w:val="24"/>
        </w:rPr>
        <w:t>  Constitution of Colorado, Article X, Section 20</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bookmarkStart w:id="2" w:name="624"/>
      <w:r w:rsidRPr="00DD3A5A">
        <w:rPr>
          <w:rFonts w:ascii="Arial" w:eastAsia="Times New Roman" w:hAnsi="Arial" w:cs="Arial"/>
          <w:sz w:val="24"/>
          <w:szCs w:val="24"/>
        </w:rPr>
        <w:t xml:space="preserve">C.R.S. </w:t>
      </w:r>
      <w:bookmarkEnd w:id="2"/>
      <w:r w:rsidRPr="00DD3A5A">
        <w:rPr>
          <w:rFonts w:ascii="Arial" w:eastAsia="Times New Roman" w:hAnsi="Arial" w:cs="Arial"/>
          <w:sz w:val="24"/>
          <w:szCs w:val="24"/>
        </w:rPr>
        <w:fldChar w:fldCharType="begin"/>
      </w:r>
      <w:r w:rsidRPr="00DD3A5A">
        <w:rPr>
          <w:rFonts w:ascii="Arial" w:eastAsia="Times New Roman" w:hAnsi="Arial" w:cs="Arial"/>
          <w:sz w:val="24"/>
          <w:szCs w:val="24"/>
        </w:rPr>
        <w:instrText xml:space="preserve"> HYPERLINK "http://www.lpdirect.net/casb/crs/1-1-101.html" \t "_blank" </w:instrText>
      </w:r>
      <w:r w:rsidRPr="00DD3A5A">
        <w:rPr>
          <w:rFonts w:ascii="Arial" w:eastAsia="Times New Roman" w:hAnsi="Arial" w:cs="Arial"/>
          <w:sz w:val="24"/>
          <w:szCs w:val="24"/>
        </w:rPr>
        <w:fldChar w:fldCharType="separate"/>
      </w:r>
      <w:r w:rsidRPr="00DD3A5A">
        <w:rPr>
          <w:rFonts w:ascii="Arial" w:eastAsia="Times New Roman" w:hAnsi="Arial" w:cs="Arial"/>
          <w:color w:val="0000FF"/>
          <w:sz w:val="24"/>
          <w:szCs w:val="24"/>
          <w:u w:val="single"/>
        </w:rPr>
        <w:t>1-1-101</w:t>
      </w:r>
      <w:r w:rsidRPr="00DD3A5A">
        <w:rPr>
          <w:rFonts w:ascii="Arial" w:eastAsia="Times New Roman" w:hAnsi="Arial" w:cs="Arial"/>
          <w:sz w:val="24"/>
          <w:szCs w:val="24"/>
        </w:rPr>
        <w:fldChar w:fldCharType="end"/>
      </w:r>
      <w:r w:rsidRPr="00DD3A5A">
        <w:rPr>
          <w:rFonts w:ascii="Arial" w:eastAsia="Times New Roman" w:hAnsi="Arial" w:cs="Arial"/>
          <w:sz w:val="24"/>
          <w:szCs w:val="24"/>
        </w:rPr>
        <w:t xml:space="preserve"> through </w:t>
      </w:r>
      <w:hyperlink r:id="rId7" w:tgtFrame="_blank" w:history="1">
        <w:r w:rsidRPr="00DD3A5A">
          <w:rPr>
            <w:rFonts w:ascii="Arial" w:eastAsia="Times New Roman" w:hAnsi="Arial" w:cs="Arial"/>
            <w:color w:val="0000FF"/>
            <w:sz w:val="24"/>
            <w:szCs w:val="24"/>
            <w:u w:val="single"/>
          </w:rPr>
          <w:t>1-13-108</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et seq. (Uniform Election Code of 1992)</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r w:rsidRPr="00DD3A5A">
        <w:rPr>
          <w:rFonts w:ascii="Arial" w:eastAsia="Times New Roman" w:hAnsi="Arial" w:cs="Arial"/>
          <w:sz w:val="24"/>
          <w:szCs w:val="24"/>
        </w:rPr>
        <w:t xml:space="preserve">C.R.S. </w:t>
      </w:r>
      <w:hyperlink r:id="rId8" w:tgtFrame="_blank" w:history="1">
        <w:r w:rsidRPr="00DD3A5A">
          <w:rPr>
            <w:rFonts w:ascii="Arial" w:eastAsia="Times New Roman" w:hAnsi="Arial" w:cs="Arial"/>
            <w:color w:val="0000FF"/>
            <w:sz w:val="24"/>
            <w:szCs w:val="24"/>
            <w:u w:val="single"/>
          </w:rPr>
          <w:t>1-7-908</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(financial information district must post prior to any financial election)</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r w:rsidRPr="00DD3A5A">
        <w:rPr>
          <w:rFonts w:ascii="Arial" w:eastAsia="Times New Roman" w:hAnsi="Arial" w:cs="Arial"/>
          <w:sz w:val="24"/>
          <w:szCs w:val="24"/>
        </w:rPr>
        <w:t xml:space="preserve">C.R.S. </w:t>
      </w:r>
      <w:hyperlink r:id="rId9" w:tgtFrame="_blank" w:history="1">
        <w:r w:rsidRPr="00DD3A5A">
          <w:rPr>
            <w:rFonts w:ascii="Arial" w:eastAsia="Times New Roman" w:hAnsi="Arial" w:cs="Arial"/>
            <w:color w:val="0000FF"/>
            <w:sz w:val="24"/>
            <w:szCs w:val="24"/>
            <w:u w:val="single"/>
          </w:rPr>
          <w:t>1-45-117</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(Fair Campaign Practices Act)</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r w:rsidRPr="00DD3A5A">
        <w:rPr>
          <w:rFonts w:ascii="Arial" w:eastAsia="Times New Roman" w:hAnsi="Arial" w:cs="Arial"/>
          <w:sz w:val="24"/>
          <w:szCs w:val="24"/>
        </w:rPr>
        <w:t xml:space="preserve">C.R.S. </w:t>
      </w:r>
      <w:hyperlink r:id="rId10" w:tgtFrame="_blank" w:history="1">
        <w:r w:rsidRPr="00DD3A5A">
          <w:rPr>
            <w:rFonts w:ascii="Arial" w:eastAsia="Times New Roman" w:hAnsi="Arial" w:cs="Arial"/>
            <w:color w:val="0000FF"/>
            <w:sz w:val="24"/>
            <w:szCs w:val="24"/>
            <w:u w:val="single"/>
          </w:rPr>
          <w:t>22-30.5-118</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(inclusion of charter schools in district mill levy elections)</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r w:rsidRPr="00DD3A5A">
        <w:rPr>
          <w:rFonts w:ascii="Arial" w:eastAsia="Times New Roman" w:hAnsi="Arial" w:cs="Arial"/>
          <w:sz w:val="24"/>
          <w:szCs w:val="24"/>
        </w:rPr>
        <w:t xml:space="preserve">C.R.S. </w:t>
      </w:r>
      <w:hyperlink r:id="rId11" w:tgtFrame="_blank" w:history="1">
        <w:r w:rsidRPr="00DD3A5A">
          <w:rPr>
            <w:rFonts w:ascii="Arial" w:eastAsia="Times New Roman" w:hAnsi="Arial" w:cs="Arial"/>
            <w:color w:val="0000FF"/>
            <w:sz w:val="24"/>
            <w:szCs w:val="24"/>
            <w:u w:val="single"/>
          </w:rPr>
          <w:t>22-30.5-119</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(mill levy for charter school operating revenues)</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r w:rsidRPr="00DD3A5A">
        <w:rPr>
          <w:rFonts w:ascii="Arial" w:eastAsia="Times New Roman" w:hAnsi="Arial" w:cs="Arial"/>
          <w:sz w:val="24"/>
          <w:szCs w:val="24"/>
        </w:rPr>
        <w:t xml:space="preserve">C.R.S. </w:t>
      </w:r>
      <w:hyperlink r:id="rId12" w:tgtFrame="_blank" w:history="1">
        <w:r w:rsidRPr="00DD3A5A">
          <w:rPr>
            <w:rFonts w:ascii="Arial" w:eastAsia="Times New Roman" w:hAnsi="Arial" w:cs="Arial"/>
            <w:color w:val="0000FF"/>
            <w:sz w:val="24"/>
            <w:szCs w:val="24"/>
            <w:u w:val="single"/>
          </w:rPr>
          <w:t>22-42-101</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et seq. (bonded indebtedness)</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r w:rsidRPr="00DD3A5A">
        <w:rPr>
          <w:rFonts w:ascii="Arial" w:eastAsia="Times New Roman" w:hAnsi="Arial" w:cs="Arial"/>
          <w:sz w:val="24"/>
          <w:szCs w:val="24"/>
        </w:rPr>
        <w:t xml:space="preserve">C.R.S. </w:t>
      </w:r>
      <w:hyperlink r:id="rId13" w:tgtFrame="_blank" w:history="1">
        <w:r w:rsidRPr="00DD3A5A">
          <w:rPr>
            <w:rFonts w:ascii="Arial" w:eastAsia="Times New Roman" w:hAnsi="Arial" w:cs="Arial"/>
            <w:color w:val="0000FF"/>
            <w:sz w:val="24"/>
            <w:szCs w:val="24"/>
            <w:u w:val="single"/>
          </w:rPr>
          <w:t>22-54-108</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(authorization of additional local revenues)</w:t>
      </w:r>
    </w:p>
    <w:p w:rsidR="00DD3A5A" w:rsidRPr="00DD3A5A" w:rsidRDefault="00DD3A5A" w:rsidP="00DD3A5A">
      <w:pPr>
        <w:spacing w:before="100" w:beforeAutospacing="1" w:after="100" w:afterAutospacing="1" w:line="240" w:lineRule="auto"/>
        <w:ind w:left="2440"/>
        <w:rPr>
          <w:rFonts w:ascii="Arial" w:eastAsia="Times New Roman" w:hAnsi="Arial" w:cs="Arial"/>
          <w:sz w:val="24"/>
          <w:szCs w:val="24"/>
        </w:rPr>
      </w:pPr>
      <w:r w:rsidRPr="00DD3A5A">
        <w:rPr>
          <w:rFonts w:ascii="Arial" w:eastAsia="Times New Roman" w:hAnsi="Arial" w:cs="Arial"/>
          <w:sz w:val="24"/>
          <w:szCs w:val="24"/>
        </w:rPr>
        <w:t xml:space="preserve">C.R.S. </w:t>
      </w:r>
      <w:hyperlink r:id="rId14" w:tgtFrame="_blank" w:history="1">
        <w:r w:rsidRPr="00DD3A5A">
          <w:rPr>
            <w:rFonts w:ascii="Arial" w:eastAsia="Times New Roman" w:hAnsi="Arial" w:cs="Arial"/>
            <w:color w:val="0000FF"/>
            <w:sz w:val="24"/>
            <w:szCs w:val="24"/>
            <w:u w:val="single"/>
          </w:rPr>
          <w:t>22-54-108.5</w:t>
        </w:r>
      </w:hyperlink>
      <w:r w:rsidRPr="00DD3A5A">
        <w:rPr>
          <w:rFonts w:ascii="Arial" w:eastAsia="Times New Roman" w:hAnsi="Arial" w:cs="Arial"/>
          <w:sz w:val="24"/>
          <w:szCs w:val="24"/>
        </w:rPr>
        <w:t xml:space="preserve"> </w:t>
      </w:r>
      <w:r w:rsidRPr="00DD3A5A">
        <w:rPr>
          <w:rFonts w:ascii="Arial" w:eastAsia="Times New Roman" w:hAnsi="Arial" w:cs="Arial"/>
          <w:i/>
          <w:iCs/>
          <w:sz w:val="24"/>
          <w:szCs w:val="24"/>
        </w:rPr>
        <w:t>(mill levy to fund full-day kindergarten)</w:t>
      </w:r>
    </w:p>
    <w:p w:rsidR="00DD3A5A" w:rsidRPr="00DD3A5A" w:rsidRDefault="00DD3A5A" w:rsidP="00DD3A5A">
      <w:pPr>
        <w:spacing w:before="180" w:after="100" w:afterAutospacing="1" w:line="240" w:lineRule="auto"/>
        <w:rPr>
          <w:rFonts w:ascii="Arial" w:eastAsia="Times New Roman" w:hAnsi="Arial" w:cs="Arial"/>
          <w:sz w:val="24"/>
          <w:szCs w:val="24"/>
        </w:rPr>
      </w:pPr>
      <w:r w:rsidRPr="00DD3A5A">
        <w:rPr>
          <w:rFonts w:ascii="Arial" w:eastAsia="Times New Roman" w:hAnsi="Arial" w:cs="Arial"/>
          <w:sz w:val="24"/>
          <w:szCs w:val="24"/>
        </w:rPr>
        <w:t xml:space="preserve">CROSS </w:t>
      </w:r>
      <w:proofErr w:type="gramStart"/>
      <w:r w:rsidRPr="00DD3A5A">
        <w:rPr>
          <w:rFonts w:ascii="Arial" w:eastAsia="Times New Roman" w:hAnsi="Arial" w:cs="Arial"/>
          <w:sz w:val="24"/>
          <w:szCs w:val="24"/>
        </w:rPr>
        <w:t>REFS.:</w:t>
      </w:r>
      <w:proofErr w:type="gramEnd"/>
      <w:r w:rsidRPr="00DD3A5A">
        <w:rPr>
          <w:rFonts w:ascii="Arial" w:eastAsia="Times New Roman" w:hAnsi="Arial" w:cs="Arial"/>
          <w:sz w:val="24"/>
          <w:szCs w:val="24"/>
        </w:rPr>
        <w:t xml:space="preserve">  </w:t>
      </w:r>
      <w:hyperlink r:id="rId15" w:anchor="JD_DBG" w:history="1">
        <w:r w:rsidRPr="00DD3A5A">
          <w:rPr>
            <w:rFonts w:ascii="Arial" w:eastAsia="Times New Roman" w:hAnsi="Arial" w:cs="Arial"/>
            <w:color w:val="0000FF"/>
            <w:sz w:val="24"/>
            <w:szCs w:val="24"/>
            <w:u w:val="single"/>
          </w:rPr>
          <w:t>DBG</w:t>
        </w:r>
      </w:hyperlink>
      <w:r w:rsidRPr="00DD3A5A">
        <w:rPr>
          <w:rFonts w:ascii="Arial" w:eastAsia="Times New Roman" w:hAnsi="Arial" w:cs="Arial"/>
          <w:sz w:val="24"/>
          <w:szCs w:val="24"/>
        </w:rPr>
        <w:t>, Budget Adoption Process</w:t>
      </w:r>
    </w:p>
    <w:p w:rsidR="00DD3A5A" w:rsidRPr="00DD3A5A" w:rsidRDefault="003D3CA6" w:rsidP="00DD3A5A">
      <w:pPr>
        <w:spacing w:before="100" w:beforeAutospacing="1" w:after="100" w:afterAutospacing="1" w:line="240" w:lineRule="auto"/>
        <w:ind w:left="2440"/>
        <w:rPr>
          <w:rFonts w:ascii="Arial" w:eastAsia="Times New Roman" w:hAnsi="Arial" w:cs="Arial"/>
          <w:sz w:val="24"/>
          <w:szCs w:val="24"/>
        </w:rPr>
      </w:pPr>
      <w:hyperlink r:id="rId16" w:anchor="JD_EEA" w:history="1">
        <w:r w:rsidR="00DD3A5A" w:rsidRPr="00DD3A5A">
          <w:rPr>
            <w:rFonts w:ascii="Arial" w:eastAsia="Times New Roman" w:hAnsi="Arial" w:cs="Arial"/>
            <w:color w:val="0000FF"/>
            <w:sz w:val="24"/>
            <w:szCs w:val="24"/>
            <w:u w:val="single"/>
          </w:rPr>
          <w:t>EEA</w:t>
        </w:r>
      </w:hyperlink>
      <w:r w:rsidR="00DD3A5A" w:rsidRPr="00DD3A5A">
        <w:rPr>
          <w:rFonts w:ascii="Arial" w:eastAsia="Times New Roman" w:hAnsi="Arial" w:cs="Arial"/>
          <w:sz w:val="24"/>
          <w:szCs w:val="24"/>
        </w:rPr>
        <w:t>, Student Transportation</w:t>
      </w:r>
    </w:p>
    <w:p w:rsidR="00DD3A5A" w:rsidRPr="00DD3A5A" w:rsidRDefault="003D3CA6" w:rsidP="00DD3A5A">
      <w:pPr>
        <w:spacing w:before="100" w:beforeAutospacing="1" w:after="100" w:afterAutospacing="1" w:line="240" w:lineRule="auto"/>
        <w:ind w:left="2440"/>
        <w:rPr>
          <w:rFonts w:ascii="Arial" w:eastAsia="Times New Roman" w:hAnsi="Arial" w:cs="Arial"/>
          <w:sz w:val="24"/>
          <w:szCs w:val="24"/>
        </w:rPr>
      </w:pPr>
      <w:hyperlink r:id="rId17" w:anchor="JD_FA" w:history="1">
        <w:r w:rsidR="00DD3A5A" w:rsidRPr="00DD3A5A">
          <w:rPr>
            <w:rFonts w:ascii="Arial" w:eastAsia="Times New Roman" w:hAnsi="Arial" w:cs="Arial"/>
            <w:color w:val="0000FF"/>
            <w:sz w:val="24"/>
            <w:szCs w:val="24"/>
            <w:u w:val="single"/>
          </w:rPr>
          <w:t>FA</w:t>
        </w:r>
      </w:hyperlink>
      <w:r w:rsidR="00DD3A5A" w:rsidRPr="00DD3A5A">
        <w:rPr>
          <w:rFonts w:ascii="Arial" w:eastAsia="Times New Roman" w:hAnsi="Arial" w:cs="Arial"/>
          <w:sz w:val="24"/>
          <w:szCs w:val="24"/>
        </w:rPr>
        <w:t>, Facilities Development Goals/Priority Objectives</w:t>
      </w:r>
    </w:p>
    <w:p w:rsidR="00DD3A5A" w:rsidRPr="00DD3A5A" w:rsidRDefault="003D3CA6" w:rsidP="00DD3A5A">
      <w:pPr>
        <w:spacing w:before="100" w:beforeAutospacing="1" w:after="100" w:afterAutospacing="1" w:line="240" w:lineRule="auto"/>
        <w:ind w:left="2440"/>
        <w:rPr>
          <w:rFonts w:ascii="Arial" w:eastAsia="Times New Roman" w:hAnsi="Arial" w:cs="Arial"/>
          <w:sz w:val="24"/>
          <w:szCs w:val="24"/>
        </w:rPr>
      </w:pPr>
      <w:hyperlink r:id="rId18" w:anchor="JD_FB" w:history="1">
        <w:r w:rsidR="00DD3A5A" w:rsidRPr="00DD3A5A">
          <w:rPr>
            <w:rFonts w:ascii="Arial" w:eastAsia="Times New Roman" w:hAnsi="Arial" w:cs="Arial"/>
            <w:color w:val="0000FF"/>
            <w:sz w:val="24"/>
            <w:szCs w:val="24"/>
            <w:u w:val="single"/>
          </w:rPr>
          <w:t>FB</w:t>
        </w:r>
      </w:hyperlink>
      <w:r w:rsidR="00DD3A5A" w:rsidRPr="00DD3A5A">
        <w:rPr>
          <w:rFonts w:ascii="Arial" w:eastAsia="Times New Roman" w:hAnsi="Arial" w:cs="Arial"/>
          <w:sz w:val="24"/>
          <w:szCs w:val="24"/>
        </w:rPr>
        <w:t>, Facilities Planning</w:t>
      </w:r>
    </w:p>
    <w:p w:rsidR="00DD3A5A" w:rsidRPr="00DD3A5A" w:rsidRDefault="003D3CA6" w:rsidP="00DD3A5A">
      <w:pPr>
        <w:spacing w:before="100" w:beforeAutospacing="1" w:after="100" w:afterAutospacing="1" w:line="240" w:lineRule="auto"/>
        <w:ind w:left="2440"/>
        <w:rPr>
          <w:rFonts w:ascii="Arial" w:eastAsia="Times New Roman" w:hAnsi="Arial" w:cs="Arial"/>
          <w:sz w:val="24"/>
          <w:szCs w:val="24"/>
        </w:rPr>
      </w:pPr>
      <w:hyperlink r:id="rId19" w:anchor="JD_FBC*" w:history="1">
        <w:r w:rsidR="00DD3A5A" w:rsidRPr="00DD3A5A">
          <w:rPr>
            <w:rFonts w:ascii="Arial" w:eastAsia="Times New Roman" w:hAnsi="Arial" w:cs="Arial"/>
            <w:color w:val="0000FF"/>
            <w:sz w:val="24"/>
            <w:szCs w:val="24"/>
            <w:u w:val="single"/>
          </w:rPr>
          <w:t>FBC*</w:t>
        </w:r>
      </w:hyperlink>
      <w:r w:rsidR="00DD3A5A" w:rsidRPr="00DD3A5A">
        <w:rPr>
          <w:rFonts w:ascii="Arial" w:eastAsia="Times New Roman" w:hAnsi="Arial" w:cs="Arial"/>
          <w:sz w:val="24"/>
          <w:szCs w:val="24"/>
        </w:rPr>
        <w:t>, Prioritization of Facility Improvement</w:t>
      </w:r>
    </w:p>
    <w:p w:rsidR="00DD3A5A" w:rsidRPr="00DD3A5A" w:rsidRDefault="003D3CA6" w:rsidP="00DD3A5A">
      <w:pPr>
        <w:spacing w:before="100" w:beforeAutospacing="1" w:after="100" w:afterAutospacing="1" w:line="240" w:lineRule="auto"/>
        <w:ind w:left="2440"/>
        <w:rPr>
          <w:rFonts w:ascii="Arial" w:eastAsia="Times New Roman" w:hAnsi="Arial" w:cs="Arial"/>
          <w:sz w:val="24"/>
          <w:szCs w:val="24"/>
        </w:rPr>
      </w:pPr>
      <w:hyperlink r:id="rId20" w:anchor="JD_FD" w:history="1">
        <w:r w:rsidR="00DD3A5A" w:rsidRPr="00DD3A5A">
          <w:rPr>
            <w:rFonts w:ascii="Arial" w:eastAsia="Times New Roman" w:hAnsi="Arial" w:cs="Arial"/>
            <w:color w:val="0000FF"/>
            <w:sz w:val="24"/>
            <w:szCs w:val="24"/>
            <w:u w:val="single"/>
          </w:rPr>
          <w:t>FD</w:t>
        </w:r>
      </w:hyperlink>
      <w:r w:rsidR="00DD3A5A" w:rsidRPr="00DD3A5A">
        <w:rPr>
          <w:rFonts w:ascii="Arial" w:eastAsia="Times New Roman" w:hAnsi="Arial" w:cs="Arial"/>
          <w:sz w:val="24"/>
          <w:szCs w:val="24"/>
        </w:rPr>
        <w:t>, Facilities Funding</w:t>
      </w:r>
    </w:p>
    <w:p w:rsidR="00DD3A5A" w:rsidRPr="00DD3A5A" w:rsidRDefault="003D3CA6" w:rsidP="00DD3A5A">
      <w:pPr>
        <w:spacing w:before="100" w:beforeAutospacing="1" w:after="100" w:afterAutospacing="1" w:line="240" w:lineRule="auto"/>
        <w:ind w:left="2440"/>
        <w:rPr>
          <w:rFonts w:ascii="Arial" w:eastAsia="Times New Roman" w:hAnsi="Arial" w:cs="Arial"/>
          <w:sz w:val="24"/>
          <w:szCs w:val="24"/>
        </w:rPr>
      </w:pPr>
      <w:hyperlink r:id="rId21" w:anchor="JD_FDA" w:history="1">
        <w:r w:rsidR="00DD3A5A" w:rsidRPr="00DD3A5A">
          <w:rPr>
            <w:rFonts w:ascii="Arial" w:eastAsia="Times New Roman" w:hAnsi="Arial" w:cs="Arial"/>
            <w:color w:val="0000FF"/>
            <w:sz w:val="24"/>
            <w:szCs w:val="24"/>
            <w:u w:val="single"/>
          </w:rPr>
          <w:t>FDA</w:t>
        </w:r>
      </w:hyperlink>
      <w:r w:rsidR="00DD3A5A" w:rsidRPr="00DD3A5A">
        <w:rPr>
          <w:rFonts w:ascii="Arial" w:eastAsia="Times New Roman" w:hAnsi="Arial" w:cs="Arial"/>
          <w:sz w:val="24"/>
          <w:szCs w:val="24"/>
        </w:rPr>
        <w:t>, Bond Campaigns</w:t>
      </w:r>
    </w:p>
    <w:p w:rsidR="00DD3A5A" w:rsidRPr="00DD3A5A" w:rsidRDefault="003D3CA6" w:rsidP="00DD3A5A">
      <w:pPr>
        <w:spacing w:before="100" w:beforeAutospacing="1" w:after="100" w:afterAutospacing="1" w:line="240" w:lineRule="auto"/>
        <w:ind w:left="2440"/>
        <w:rPr>
          <w:rFonts w:ascii="Arial" w:eastAsia="Times New Roman" w:hAnsi="Arial" w:cs="Arial"/>
          <w:sz w:val="24"/>
          <w:szCs w:val="24"/>
        </w:rPr>
      </w:pPr>
      <w:hyperlink r:id="rId22" w:anchor="JD_LBDA*" w:history="1">
        <w:r w:rsidR="00DD3A5A" w:rsidRPr="00DD3A5A">
          <w:rPr>
            <w:rFonts w:ascii="Arial" w:eastAsia="Times New Roman" w:hAnsi="Arial" w:cs="Arial"/>
            <w:color w:val="0000FF"/>
            <w:sz w:val="24"/>
            <w:szCs w:val="24"/>
            <w:u w:val="single"/>
          </w:rPr>
          <w:t>LBDA*</w:t>
        </w:r>
      </w:hyperlink>
      <w:r w:rsidR="00DD3A5A" w:rsidRPr="00DD3A5A">
        <w:rPr>
          <w:rFonts w:ascii="Arial" w:eastAsia="Times New Roman" w:hAnsi="Arial" w:cs="Arial"/>
          <w:sz w:val="24"/>
          <w:szCs w:val="24"/>
        </w:rPr>
        <w:t>, Facilities Planning and Funding for District Charter Schools</w:t>
      </w:r>
    </w:p>
    <w:p w:rsidR="00A134E3" w:rsidRDefault="00A134E3"/>
    <w:sectPr w:rsidR="00A134E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A6" w:rsidRDefault="003D3CA6" w:rsidP="00E83F6D">
      <w:pPr>
        <w:spacing w:after="0" w:line="240" w:lineRule="auto"/>
      </w:pPr>
      <w:r>
        <w:separator/>
      </w:r>
    </w:p>
  </w:endnote>
  <w:endnote w:type="continuationSeparator" w:id="0">
    <w:p w:rsidR="003D3CA6" w:rsidRDefault="003D3CA6" w:rsidP="00E8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139072"/>
      <w:docPartObj>
        <w:docPartGallery w:val="Page Numbers (Bottom of Page)"/>
        <w:docPartUnique/>
      </w:docPartObj>
    </w:sdtPr>
    <w:sdtEndPr>
      <w:rPr>
        <w:noProof/>
      </w:rPr>
    </w:sdtEndPr>
    <w:sdtContent>
      <w:p w:rsidR="00E83F6D" w:rsidRDefault="00E83F6D">
        <w:pPr>
          <w:pStyle w:val="Footer"/>
          <w:jc w:val="right"/>
        </w:pPr>
        <w:r>
          <w:fldChar w:fldCharType="begin"/>
        </w:r>
        <w:r>
          <w:instrText xml:space="preserve"> PAGE   \* MERGEFORMAT </w:instrText>
        </w:r>
        <w:r>
          <w:fldChar w:fldCharType="separate"/>
        </w:r>
        <w:r w:rsidR="0078334E">
          <w:rPr>
            <w:noProof/>
          </w:rPr>
          <w:t>1</w:t>
        </w:r>
        <w:r>
          <w:rPr>
            <w:noProof/>
          </w:rPr>
          <w:fldChar w:fldCharType="end"/>
        </w:r>
        <w:r>
          <w:rPr>
            <w:noProof/>
          </w:rPr>
          <w:t xml:space="preserve"> of 4</w:t>
        </w:r>
      </w:p>
    </w:sdtContent>
  </w:sdt>
  <w:p w:rsidR="00E83F6D" w:rsidRDefault="00E83F6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A6" w:rsidRDefault="003D3CA6" w:rsidP="00E83F6D">
      <w:pPr>
        <w:spacing w:after="0" w:line="240" w:lineRule="auto"/>
      </w:pPr>
      <w:r>
        <w:separator/>
      </w:r>
    </w:p>
  </w:footnote>
  <w:footnote w:type="continuationSeparator" w:id="0">
    <w:p w:rsidR="003D3CA6" w:rsidRDefault="003D3CA6" w:rsidP="00E8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6D" w:rsidRDefault="00E83F6D">
    <w:pPr>
      <w:pStyle w:val="Header"/>
    </w:pPr>
    <w:r>
      <w:tab/>
    </w:r>
    <w:r>
      <w:tab/>
      <w:t>File:  DEA</w:t>
    </w:r>
  </w:p>
  <w:p w:rsidR="00E83F6D" w:rsidRDefault="00E8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5A"/>
    <w:rsid w:val="003D3CA6"/>
    <w:rsid w:val="0078334E"/>
    <w:rsid w:val="00A134E3"/>
    <w:rsid w:val="00DD3A5A"/>
    <w:rsid w:val="00E8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6D"/>
  </w:style>
  <w:style w:type="paragraph" w:styleId="Footer">
    <w:name w:val="footer"/>
    <w:basedOn w:val="Normal"/>
    <w:link w:val="FooterChar"/>
    <w:uiPriority w:val="99"/>
    <w:unhideWhenUsed/>
    <w:rsid w:val="00E8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6D"/>
  </w:style>
  <w:style w:type="paragraph" w:styleId="BalloonText">
    <w:name w:val="Balloon Text"/>
    <w:basedOn w:val="Normal"/>
    <w:link w:val="BalloonTextChar"/>
    <w:uiPriority w:val="99"/>
    <w:semiHidden/>
    <w:unhideWhenUsed/>
    <w:rsid w:val="00E8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6D"/>
  </w:style>
  <w:style w:type="paragraph" w:styleId="Footer">
    <w:name w:val="footer"/>
    <w:basedOn w:val="Normal"/>
    <w:link w:val="FooterChar"/>
    <w:uiPriority w:val="99"/>
    <w:unhideWhenUsed/>
    <w:rsid w:val="00E8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6D"/>
  </w:style>
  <w:style w:type="paragraph" w:styleId="BalloonText">
    <w:name w:val="Balloon Text"/>
    <w:basedOn w:val="Normal"/>
    <w:link w:val="BalloonTextChar"/>
    <w:uiPriority w:val="99"/>
    <w:semiHidden/>
    <w:unhideWhenUsed/>
    <w:rsid w:val="00E8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7-908.html" TargetMode="External"/><Relationship Id="rId13" Type="http://schemas.openxmlformats.org/officeDocument/2006/relationships/hyperlink" Target="http://www.lpdirect.net/casb/crs/22-54-108.html" TargetMode="External"/><Relationship Id="rId18" Type="http://schemas.openxmlformats.org/officeDocument/2006/relationships/hyperlink" Target="http://z2.ctspublish.com/casb/DocViewer.jsp?docid=129&amp;z2collection=core"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z2.ctspublish.com/casb/DocViewer.jsp?docid=134&amp;z2collection=core" TargetMode="External"/><Relationship Id="rId7" Type="http://schemas.openxmlformats.org/officeDocument/2006/relationships/hyperlink" Target="http://www.lpdirect.net/casb/crs/1-13-108.html" TargetMode="External"/><Relationship Id="rId12" Type="http://schemas.openxmlformats.org/officeDocument/2006/relationships/hyperlink" Target="http://www.lpdirect.net/casb/crs/22-42-101.html" TargetMode="External"/><Relationship Id="rId17" Type="http://schemas.openxmlformats.org/officeDocument/2006/relationships/hyperlink" Target="http://z2.ctspublish.com/casb/DocViewer.jsp?docid=128&amp;z2collection=cor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2.ctspublish.com/casb/DocViewer.jsp?docid=99&amp;z2collection=core" TargetMode="External"/><Relationship Id="rId20" Type="http://schemas.openxmlformats.org/officeDocument/2006/relationships/hyperlink" Target="http://z2.ctspublish.com/casb/DocViewer.jsp?docid=133&amp;z2collection=co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30_5-119.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2.ctspublish.com/casb/DocViewer.jsp?docid=72&amp;z2collection=core" TargetMode="External"/><Relationship Id="rId23" Type="http://schemas.openxmlformats.org/officeDocument/2006/relationships/header" Target="header1.xml"/><Relationship Id="rId10" Type="http://schemas.openxmlformats.org/officeDocument/2006/relationships/hyperlink" Target="http://www.lpdirect.net/casb/crs/22-30_5-118.html" TargetMode="External"/><Relationship Id="rId19" Type="http://schemas.openxmlformats.org/officeDocument/2006/relationships/hyperlink" Target="http://z2.ctspublish.com/casb/DocViewer.jsp?docid=131&amp;z2collection=core" TargetMode="External"/><Relationship Id="rId4" Type="http://schemas.openxmlformats.org/officeDocument/2006/relationships/webSettings" Target="webSettings.xml"/><Relationship Id="rId9" Type="http://schemas.openxmlformats.org/officeDocument/2006/relationships/hyperlink" Target="http://www.lpdirect.net/casb/crs/1-45-117.html" TargetMode="External"/><Relationship Id="rId14" Type="http://schemas.openxmlformats.org/officeDocument/2006/relationships/hyperlink" Target="http://www.lpdirect.net/casb/crs/22-54-108_5.html" TargetMode="External"/><Relationship Id="rId22" Type="http://schemas.openxmlformats.org/officeDocument/2006/relationships/hyperlink" Target="http://z2.ctspublish.com/casb/DocViewer.jsp?docid=393&amp;z2collection=cor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16"/>
    <w:rsid w:val="00343D75"/>
    <w:rsid w:val="00A0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53FE1CF93F41E49BEDAB13681450EC">
    <w:name w:val="1253FE1CF93F41E49BEDAB13681450EC"/>
    <w:rsid w:val="00A03F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53FE1CF93F41E49BEDAB13681450EC">
    <w:name w:val="1253FE1CF93F41E49BEDAB13681450EC"/>
    <w:rsid w:val="00A03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2016-06-13T16:12:00Z</dcterms:created>
  <dcterms:modified xsi:type="dcterms:W3CDTF">2016-07-11T17:57:00Z</dcterms:modified>
</cp:coreProperties>
</file>